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44A276">
      <w:pPr>
        <w:pStyle w:val="4"/>
        <w:ind w:left="0" w:leftChars="0" w:firstLine="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附件一.工程量清单</w:t>
      </w:r>
    </w:p>
    <w:tbl>
      <w:tblPr>
        <w:tblStyle w:val="5"/>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1"/>
        <w:gridCol w:w="949"/>
        <w:gridCol w:w="499"/>
        <w:gridCol w:w="1077"/>
        <w:gridCol w:w="768"/>
        <w:gridCol w:w="754"/>
        <w:gridCol w:w="513"/>
        <w:gridCol w:w="471"/>
        <w:gridCol w:w="499"/>
        <w:gridCol w:w="2498"/>
        <w:gridCol w:w="2724"/>
        <w:gridCol w:w="2387"/>
        <w:gridCol w:w="471"/>
      </w:tblGrid>
      <w:tr w14:paraId="26A69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D8F7AF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8CD0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80003">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CF56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暂定工程量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900CC6">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单价（不含税）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57C1AD">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单价（含税）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1F86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不含税合价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1A236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税金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4D3B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含税合价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A70577">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A9771C">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经济内容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EDB39">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计量规则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10301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6527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B99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61A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钻孔灌注桩（旋挖钻）0.8m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C1C4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927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3456.51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616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A67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A91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A1EF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D14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D376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1、桩位清理、桩中心点位的维护及护桩的设置与维护。           2、桩位范围内地面清理，设置操作平台及钢板。                 3、钢护筒制作、埋设。                    4、泥浆池及泥浆制作，配置相应泥浆箱。                            5、成孔、清孔。                         6、混凝土灌注。                     7、养护。                                                  8、与成孔、灌注、配合桩检等相关的其他辅助工作。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253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1、甲方提供三通一平，其他施工条件由乙方根据施工方案自行考虑，费用包含在单价中。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2、完成本项内容的主材及辅助材料如泥浆制作材料、钢护筒及养护材料等均由乙方自备，费用包含在单价中。                                         3、与完成本项内容的所有成孔、空钻、灌注等必需的桩机、振捣设备、导流、泥浆制作、抽排水等设备费用及用电和燃油等费用包含在单价中。                                                        4、与完成本项内容的所有管理人员、技术人员、劳务人员及安全等辅助用工的费用包含在单价中。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5、与完成本项内容的乙方所有管理费、利润、税金、风险等费用包含在单价中。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8CE3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符合本项目验收的工程实体数量且不超图纸设计及业主审计审核工程量，办理结算。工程量核定：灌注桩以施工图纸设计桩截面面积*设计灌注桩长度以立方米进行计量（超灌部分不另计），具体详见工程量清单规则</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EED3FE">
            <w:pPr>
              <w:jc w:val="left"/>
              <w:rPr>
                <w:rFonts w:hint="eastAsia" w:ascii="仿宋" w:hAnsi="仿宋" w:eastAsia="仿宋" w:cs="仿宋"/>
                <w:b/>
                <w:bCs/>
                <w:i w:val="0"/>
                <w:iCs w:val="0"/>
                <w:color w:val="FF0000"/>
                <w:sz w:val="24"/>
                <w:szCs w:val="24"/>
                <w:highlight w:val="none"/>
                <w:u w:val="none"/>
              </w:rPr>
            </w:pPr>
          </w:p>
        </w:tc>
      </w:tr>
      <w:tr w14:paraId="36B93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7559B8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E6E86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凿桩头（φ800）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A03A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8479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216.03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92BC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57B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1D3A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8BD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B62F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F9F87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1.截桩头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2.凿平</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3.废料外运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F8005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桩头凿除及外弃，场地及运距自行考虑，并达到环保要求。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EC38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以符合本项目验收的工程实体数量且不超图纸设计及业主审计审核工程量，办理结算。工程量核定：以根计量，按实际完成数量计算。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670660">
            <w:pPr>
              <w:jc w:val="left"/>
              <w:rPr>
                <w:rFonts w:hint="eastAsia" w:ascii="仿宋" w:hAnsi="仿宋" w:eastAsia="仿宋" w:cs="仿宋"/>
                <w:b/>
                <w:bCs/>
                <w:i w:val="0"/>
                <w:iCs w:val="0"/>
                <w:color w:val="FF0000"/>
                <w:sz w:val="24"/>
                <w:szCs w:val="24"/>
                <w:highlight w:val="none"/>
                <w:u w:val="none"/>
              </w:rPr>
            </w:pPr>
          </w:p>
        </w:tc>
      </w:tr>
      <w:tr w14:paraId="3759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2B2A87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274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钻渣及泥浆外弃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C243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1085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3456.51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1B9C7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4F6E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1ECD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259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9296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6A446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泥浆弃运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8001A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泥浆弃运，场地及运距自行考虑，并达到环保要求。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CD06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以符合本项目验收的工程实体数量且不超图纸设计及业主审计审核工程量，办理结算。工程量核定：以设计桩基体体积立方米进行计算。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8D8E9">
            <w:pPr>
              <w:jc w:val="left"/>
              <w:rPr>
                <w:rFonts w:hint="eastAsia" w:ascii="仿宋" w:hAnsi="仿宋" w:eastAsia="仿宋" w:cs="仿宋"/>
                <w:b/>
                <w:bCs/>
                <w:i w:val="0"/>
                <w:iCs w:val="0"/>
                <w:color w:val="000000"/>
                <w:sz w:val="24"/>
                <w:szCs w:val="24"/>
                <w:highlight w:val="none"/>
                <w:u w:val="none"/>
              </w:rPr>
            </w:pPr>
          </w:p>
        </w:tc>
      </w:tr>
      <w:tr w14:paraId="00E34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74E430B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B464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钢筋笼</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C712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17B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378.40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88E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2B6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935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915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30C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1B152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材料准备：钢筋除锈、调直等。2、钢筋笼制作安装：钢筋笼制作、钢筋笼直螺纹墩粗车丝连接，定位筋制作安装，声测管安装、连接，钢筋笼连接，吊装，就位。3、运输：含材料场内运输，成品运至施工部位。4、成品保护、上盖下垫、直至后续工序完成。5、原材料及半成品的卸货、二次转运、储存等。6、其他相关的辅助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F4A0A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1、主材及完成本项内容的其他所有辅材（如焊料、绑扎材料、连接套筒等）均由乙方自备，费用包含在单价中。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2、与完成本项工作内容的所有制作、运输及安装设备（如吊车，平板车）、设备进出场等所有设备费用及相关电力、用水、燃油等费用均含在单价中。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3、与完成本项内容的所有管理人员、技术人员、劳务人员及安全等辅助用工的费用包含在单价中。</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4、与完成本项内容的乙方所有管理费、利润、税金风险等费用包含在单价中。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F58FC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符合本项目验收的工程实体数量且不超图纸设计及业主审计审核工程量，办理结算。工程量核定：钢筋笼制安以施工图纸所示及钢筋表（不包括吊筋、钢筋笼支撑筋等固定、定位架立钢筋）所列，按实际安设并经监理人验收的钢筋以t计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FBDB2F">
            <w:pPr>
              <w:jc w:val="left"/>
              <w:rPr>
                <w:rFonts w:hint="eastAsia" w:ascii="仿宋" w:hAnsi="仿宋" w:eastAsia="仿宋" w:cs="仿宋"/>
                <w:b/>
                <w:bCs/>
                <w:i w:val="0"/>
                <w:iCs w:val="0"/>
                <w:color w:val="FF0000"/>
                <w:sz w:val="24"/>
                <w:szCs w:val="24"/>
                <w:highlight w:val="none"/>
                <w:u w:val="none"/>
              </w:rPr>
            </w:pPr>
          </w:p>
        </w:tc>
      </w:tr>
      <w:tr w14:paraId="4C8B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7CCF1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F7E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声测管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7308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9B73C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2064.00 </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4C9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CD4E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AB5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F6FE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0AC1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E00A7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1.声测管截断、封头</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2.套管制作、焊接</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3.定位、固定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7FA40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声测管采购、制作、安装，材料乙方自行采购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5489E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以符合本项目验收的工程实体数量且不超图纸设计及业主审计审核工程量，办理结算。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1368A">
            <w:pPr>
              <w:jc w:val="left"/>
              <w:rPr>
                <w:rFonts w:hint="eastAsia" w:ascii="仿宋" w:hAnsi="仿宋" w:eastAsia="仿宋" w:cs="仿宋"/>
                <w:i w:val="0"/>
                <w:iCs w:val="0"/>
                <w:color w:val="000000"/>
                <w:sz w:val="24"/>
                <w:szCs w:val="24"/>
                <w:highlight w:val="none"/>
                <w:u w:val="none"/>
              </w:rPr>
            </w:pPr>
          </w:p>
        </w:tc>
      </w:tr>
      <w:tr w14:paraId="6C50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0" w:type="auto"/>
            <w:gridSpan w:val="2"/>
            <w:tcBorders>
              <w:top w:val="single" w:color="000000" w:sz="4" w:space="0"/>
              <w:left w:val="single" w:color="000000" w:sz="4" w:space="0"/>
              <w:bottom w:val="single" w:color="000000" w:sz="4" w:space="0"/>
              <w:right w:val="single" w:color="000000" w:sz="4" w:space="0"/>
            </w:tcBorders>
            <w:noWrap w:val="0"/>
            <w:vAlign w:val="center"/>
          </w:tcPr>
          <w:p w14:paraId="5B7B49B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AFC048">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710FD0">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4B143">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F6C1D6">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970F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E7AC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372D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C32A70">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98315">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091B23">
            <w:pPr>
              <w:jc w:val="center"/>
              <w:rPr>
                <w:rFonts w:hint="eastAsia" w:ascii="仿宋" w:hAnsi="仿宋" w:eastAsia="仿宋" w:cs="仿宋"/>
                <w:i w:val="0"/>
                <w:iCs w:val="0"/>
                <w:color w:val="000000"/>
                <w:sz w:val="24"/>
                <w:szCs w:val="24"/>
                <w:highlight w:val="none"/>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70192">
            <w:pPr>
              <w:jc w:val="center"/>
              <w:rPr>
                <w:rFonts w:hint="eastAsia" w:ascii="仿宋" w:hAnsi="仿宋" w:eastAsia="仿宋" w:cs="仿宋"/>
                <w:i w:val="0"/>
                <w:iCs w:val="0"/>
                <w:color w:val="000000"/>
                <w:sz w:val="24"/>
                <w:szCs w:val="24"/>
                <w:highlight w:val="none"/>
                <w:u w:val="none"/>
              </w:rPr>
            </w:pPr>
          </w:p>
        </w:tc>
      </w:tr>
      <w:tr w14:paraId="0DDB9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3"/>
            <w:vMerge w:val="restart"/>
            <w:tcBorders>
              <w:top w:val="nil"/>
              <w:left w:val="nil"/>
              <w:bottom w:val="nil"/>
              <w:right w:val="nil"/>
            </w:tcBorders>
            <w:noWrap w:val="0"/>
            <w:vAlign w:val="top"/>
          </w:tcPr>
          <w:p w14:paraId="5197E641">
            <w:pPr>
              <w:keepNext w:val="0"/>
              <w:keepLines w:val="0"/>
              <w:widowControl/>
              <w:suppressLineNumbers w:val="0"/>
              <w:jc w:val="left"/>
              <w:textAlignment w:val="top"/>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1、本清单中的工程量均为暂估量，结算时以承包人确认的分包人实际完成的工程量为准；                                                                                                                                                     2、钻孔灌注桩不分桩深均执行本清单中的综合单价                                                                                                                                                                                        3、不管岩石类别、入岩深度及施工方法，均执行本清单中对应的综合单价。</w:t>
            </w:r>
          </w:p>
        </w:tc>
      </w:tr>
      <w:tr w14:paraId="1D1B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3"/>
            <w:vMerge w:val="continue"/>
            <w:tcBorders>
              <w:top w:val="nil"/>
              <w:left w:val="nil"/>
              <w:bottom w:val="nil"/>
              <w:right w:val="nil"/>
            </w:tcBorders>
            <w:noWrap w:val="0"/>
            <w:vAlign w:val="top"/>
          </w:tcPr>
          <w:p w14:paraId="3D9B282B">
            <w:pPr>
              <w:jc w:val="left"/>
              <w:rPr>
                <w:rFonts w:hint="eastAsia" w:ascii="宋体" w:hAnsi="宋体" w:eastAsia="宋体" w:cs="宋体"/>
                <w:i w:val="0"/>
                <w:iCs w:val="0"/>
                <w:color w:val="000000"/>
                <w:sz w:val="22"/>
                <w:szCs w:val="22"/>
                <w:highlight w:val="none"/>
                <w:u w:val="none"/>
              </w:rPr>
            </w:pPr>
          </w:p>
        </w:tc>
      </w:tr>
      <w:tr w14:paraId="038D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13"/>
            <w:vMerge w:val="continue"/>
            <w:tcBorders>
              <w:top w:val="nil"/>
              <w:left w:val="nil"/>
              <w:bottom w:val="nil"/>
              <w:right w:val="nil"/>
            </w:tcBorders>
            <w:noWrap w:val="0"/>
            <w:vAlign w:val="top"/>
          </w:tcPr>
          <w:p w14:paraId="70673300">
            <w:pPr>
              <w:jc w:val="left"/>
              <w:rPr>
                <w:rFonts w:hint="eastAsia" w:ascii="宋体" w:hAnsi="宋体" w:eastAsia="宋体" w:cs="宋体"/>
                <w:i w:val="0"/>
                <w:iCs w:val="0"/>
                <w:color w:val="000000"/>
                <w:sz w:val="22"/>
                <w:szCs w:val="22"/>
                <w:highlight w:val="none"/>
                <w:u w:val="none"/>
              </w:rPr>
            </w:pPr>
          </w:p>
        </w:tc>
      </w:tr>
    </w:tbl>
    <w:p w14:paraId="1E9EEC9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8B2231"/>
    <w:rsid w:val="708B2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ody Text Indent"/>
    <w:basedOn w:val="1"/>
    <w:qFormat/>
    <w:uiPriority w:val="0"/>
    <w:pPr>
      <w:spacing w:after="120"/>
      <w:ind w:left="420" w:leftChars="200"/>
    </w:pPr>
    <w:rPr>
      <w:rFonts w:ascii="Times New Roman" w:hAnsi="Times New Roman" w:cs="Times New Roman"/>
      <w:szCs w:val="24"/>
    </w:rPr>
  </w:style>
  <w:style w:type="paragraph" w:styleId="4">
    <w:name w:val="Body Text First Indent 2"/>
    <w:basedOn w:val="3"/>
    <w:qFormat/>
    <w:uiPriority w:val="99"/>
    <w:pPr>
      <w:spacing w:after="0"/>
      <w:ind w:firstLine="420"/>
    </w:pPr>
    <w:rPr>
      <w:rFonts w:ascii="宋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2025-07-30T08:11:00Z</dcterms:created>
  <dc:creator>Hy</dc:creator>
  <cp:lastModifiedBy>Hy</cp:lastModifiedBy>
  <dcterms:modified xsi:type="dcterms:W3CDTF">2025-07-30T08:12:24Z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F99E9EE3A3BD4E3BABA691C97AF99E24_11</vt:lpwstr>
  </property>
  <property fmtid="{D5CDD505-2E9C-101B-9397-08002B2CF9AE}" pid="4" name="KSOTemplateDocerSaveRecord">
    <vt:lpwstr>eyJoZGlkIjoiOTc2ZDkwOTliNGVjM2I3YWYwYTc2MDY3NTFmNDRlNWUiLCJ1c2VySWQiOiIyNjk1NDQ1ODEifQ==</vt:lpwstr>
  </property>
</Properties>
</file>